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7CF2" w14:textId="77777777" w:rsidR="00190436" w:rsidRDefault="00190436" w:rsidP="00190436">
      <w:pPr>
        <w:autoSpaceDE w:val="0"/>
        <w:autoSpaceDN w:val="0"/>
        <w:adjustRightInd w:val="0"/>
        <w:spacing w:line="240" w:lineRule="exact"/>
        <w:jc w:val="both"/>
        <w:rPr>
          <w:rFonts w:asciiTheme="minorHAnsi" w:hAnsiTheme="minorHAnsi" w:cstheme="minorHAnsi"/>
          <w:b/>
          <w:bCs/>
          <w:sz w:val="22"/>
          <w:szCs w:val="22"/>
        </w:rPr>
      </w:pPr>
      <w:r w:rsidRPr="00396AA2">
        <w:rPr>
          <w:rFonts w:asciiTheme="minorHAnsi" w:hAnsiTheme="minorHAnsi" w:cstheme="minorHAnsi"/>
          <w:b/>
          <w:bCs/>
          <w:sz w:val="22"/>
          <w:szCs w:val="22"/>
        </w:rPr>
        <w:t>ANNEXE 2 : LES PIEGES A l’EMPLOI</w:t>
      </w:r>
    </w:p>
    <w:p w14:paraId="4F632C86" w14:textId="77777777" w:rsidR="00190436" w:rsidRDefault="00190436" w:rsidP="00190436">
      <w:pPr>
        <w:autoSpaceDE w:val="0"/>
        <w:autoSpaceDN w:val="0"/>
        <w:adjustRightInd w:val="0"/>
        <w:spacing w:line="240" w:lineRule="exact"/>
        <w:jc w:val="both"/>
        <w:rPr>
          <w:rFonts w:asciiTheme="minorHAnsi" w:hAnsiTheme="minorHAnsi" w:cstheme="minorHAnsi"/>
          <w:b/>
          <w:bCs/>
          <w:sz w:val="22"/>
          <w:szCs w:val="22"/>
        </w:rPr>
      </w:pPr>
    </w:p>
    <w:p w14:paraId="2AAFFE00" w14:textId="77777777" w:rsidR="00190436" w:rsidRPr="00722B4D" w:rsidRDefault="00190436" w:rsidP="00190436">
      <w:pPr>
        <w:autoSpaceDE w:val="0"/>
        <w:autoSpaceDN w:val="0"/>
        <w:adjustRightInd w:val="0"/>
        <w:spacing w:line="240" w:lineRule="exact"/>
        <w:jc w:val="both"/>
        <w:rPr>
          <w:rFonts w:asciiTheme="minorHAnsi" w:hAnsiTheme="minorHAnsi" w:cstheme="minorHAnsi"/>
          <w:b/>
          <w:bCs/>
          <w:sz w:val="22"/>
          <w:szCs w:val="22"/>
        </w:rPr>
      </w:pPr>
      <w:r w:rsidRPr="00722B4D">
        <w:rPr>
          <w:rFonts w:asciiTheme="minorHAnsi" w:hAnsiTheme="minorHAnsi" w:cstheme="minorHAnsi"/>
          <w:b/>
          <w:bCs/>
          <w:sz w:val="22"/>
          <w:szCs w:val="22"/>
        </w:rPr>
        <w:t>Deux analyses de cas, pour bien comprendre…</w:t>
      </w:r>
    </w:p>
    <w:p w14:paraId="3CB0205D"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p>
    <w:p w14:paraId="4BD66BDF"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Le tableau ci-dessous présente la comparaison des revenus de personnes isolées ou ayant un enfant à charge, lorsqu’elles sont travailleuses à temps plein (au RMMMG) ou bénéficiaires du RI.</w:t>
      </w:r>
      <w:r>
        <w:rPr>
          <w:rFonts w:asciiTheme="minorHAnsi" w:hAnsiTheme="minorHAnsi" w:cstheme="minorHAnsi"/>
          <w:sz w:val="22"/>
          <w:szCs w:val="22"/>
        </w:rPr>
        <w:t xml:space="preserve"> Il</w:t>
      </w:r>
      <w:r w:rsidRPr="00722B4D">
        <w:rPr>
          <w:rFonts w:asciiTheme="minorHAnsi" w:hAnsiTheme="minorHAnsi" w:cstheme="minorHAnsi"/>
          <w:sz w:val="22"/>
          <w:szCs w:val="22"/>
        </w:rPr>
        <w:t xml:space="preserve"> considère les revenus d’un travailleur qui n’était pas, avant sa mise à l’emploi, bénéficiaire du RI, en tenant compte des frais principaux liés à la mise à l’emploi, à savoir les frais de déplacement et les frais de garde d’enfants </w:t>
      </w:r>
      <w:r>
        <w:rPr>
          <w:rFonts w:asciiTheme="minorHAnsi" w:hAnsiTheme="minorHAnsi" w:cstheme="minorHAnsi"/>
          <w:sz w:val="22"/>
          <w:szCs w:val="22"/>
        </w:rPr>
        <w:t>(</w:t>
      </w:r>
      <w:r w:rsidRPr="00722B4D">
        <w:rPr>
          <w:rFonts w:asciiTheme="minorHAnsi" w:hAnsiTheme="minorHAnsi" w:cstheme="minorHAnsi"/>
          <w:sz w:val="22"/>
          <w:szCs w:val="22"/>
        </w:rPr>
        <w:t>si d’application</w:t>
      </w:r>
      <w:r>
        <w:rPr>
          <w:rFonts w:asciiTheme="minorHAnsi" w:hAnsiTheme="minorHAnsi" w:cstheme="minorHAnsi"/>
          <w:sz w:val="22"/>
          <w:szCs w:val="22"/>
        </w:rPr>
        <w:t>)</w:t>
      </w:r>
      <w:r w:rsidRPr="00722B4D">
        <w:rPr>
          <w:rFonts w:asciiTheme="minorHAnsi" w:hAnsiTheme="minorHAnsi" w:cstheme="minorHAnsi"/>
          <w:sz w:val="22"/>
          <w:szCs w:val="22"/>
        </w:rPr>
        <w:t>.</w:t>
      </w:r>
    </w:p>
    <w:p w14:paraId="7BF52CEA"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p>
    <w:tbl>
      <w:tblPr>
        <w:tblW w:w="9960" w:type="dxa"/>
        <w:jc w:val="center"/>
        <w:tblCellMar>
          <w:left w:w="70" w:type="dxa"/>
          <w:right w:w="70" w:type="dxa"/>
        </w:tblCellMar>
        <w:tblLook w:val="04A0" w:firstRow="1" w:lastRow="0" w:firstColumn="1" w:lastColumn="0" w:noHBand="0" w:noVBand="1"/>
      </w:tblPr>
      <w:tblGrid>
        <w:gridCol w:w="2920"/>
        <w:gridCol w:w="1760"/>
        <w:gridCol w:w="1760"/>
        <w:gridCol w:w="1760"/>
        <w:gridCol w:w="1760"/>
      </w:tblGrid>
      <w:tr w:rsidR="00190436" w:rsidRPr="00722B4D" w14:paraId="7F965297" w14:textId="77777777" w:rsidTr="00832CF5">
        <w:trPr>
          <w:trHeight w:val="29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07C90439"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 </w:t>
            </w:r>
          </w:p>
        </w:tc>
        <w:tc>
          <w:tcPr>
            <w:tcW w:w="1760" w:type="dxa"/>
            <w:tcBorders>
              <w:top w:val="single" w:sz="4" w:space="0" w:color="auto"/>
              <w:left w:val="nil"/>
              <w:bottom w:val="single" w:sz="4" w:space="0" w:color="auto"/>
              <w:right w:val="single" w:sz="4" w:space="0" w:color="auto"/>
            </w:tcBorders>
            <w:noWrap/>
            <w:hideMark/>
          </w:tcPr>
          <w:p w14:paraId="45B3B1E2"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Travailleur isolé</w:t>
            </w:r>
          </w:p>
        </w:tc>
        <w:tc>
          <w:tcPr>
            <w:tcW w:w="1760" w:type="dxa"/>
            <w:tcBorders>
              <w:top w:val="single" w:sz="4" w:space="0" w:color="auto"/>
              <w:left w:val="nil"/>
              <w:bottom w:val="single" w:sz="4" w:space="0" w:color="auto"/>
              <w:right w:val="single" w:sz="4" w:space="0" w:color="auto"/>
            </w:tcBorders>
            <w:noWrap/>
            <w:hideMark/>
          </w:tcPr>
          <w:p w14:paraId="19BC0744"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RI catégorie 2</w:t>
            </w:r>
          </w:p>
        </w:tc>
        <w:tc>
          <w:tcPr>
            <w:tcW w:w="1760" w:type="dxa"/>
            <w:tcBorders>
              <w:top w:val="single" w:sz="4" w:space="0" w:color="auto"/>
              <w:left w:val="nil"/>
              <w:bottom w:val="single" w:sz="4" w:space="0" w:color="auto"/>
              <w:right w:val="single" w:sz="4" w:space="0" w:color="auto"/>
            </w:tcBorders>
            <w:noWrap/>
            <w:hideMark/>
          </w:tcPr>
          <w:p w14:paraId="5D6F7F36"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Travailleur isolé avec un enfant à charge</w:t>
            </w:r>
          </w:p>
        </w:tc>
        <w:tc>
          <w:tcPr>
            <w:tcW w:w="1760" w:type="dxa"/>
            <w:tcBorders>
              <w:top w:val="single" w:sz="4" w:space="0" w:color="auto"/>
              <w:left w:val="nil"/>
              <w:bottom w:val="single" w:sz="4" w:space="0" w:color="auto"/>
              <w:right w:val="single" w:sz="4" w:space="0" w:color="auto"/>
            </w:tcBorders>
            <w:noWrap/>
            <w:hideMark/>
          </w:tcPr>
          <w:p w14:paraId="19702DB6"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RI catégorie 3</w:t>
            </w:r>
          </w:p>
        </w:tc>
      </w:tr>
      <w:tr w:rsidR="00190436" w:rsidRPr="00722B4D" w14:paraId="5AD927B3" w14:textId="77777777" w:rsidTr="00832CF5">
        <w:trPr>
          <w:trHeight w:val="290"/>
          <w:jc w:val="center"/>
        </w:trPr>
        <w:tc>
          <w:tcPr>
            <w:tcW w:w="2920" w:type="dxa"/>
            <w:tcBorders>
              <w:top w:val="nil"/>
              <w:left w:val="single" w:sz="4" w:space="0" w:color="auto"/>
              <w:bottom w:val="single" w:sz="4" w:space="0" w:color="auto"/>
              <w:right w:val="single" w:sz="4" w:space="0" w:color="auto"/>
            </w:tcBorders>
            <w:noWrap/>
            <w:vAlign w:val="bottom"/>
            <w:hideMark/>
          </w:tcPr>
          <w:p w14:paraId="44EB62E4"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Revenu brut</w:t>
            </w:r>
          </w:p>
        </w:tc>
        <w:tc>
          <w:tcPr>
            <w:tcW w:w="1760" w:type="dxa"/>
            <w:tcBorders>
              <w:top w:val="nil"/>
              <w:left w:val="nil"/>
              <w:bottom w:val="single" w:sz="4" w:space="0" w:color="auto"/>
              <w:right w:val="single" w:sz="4" w:space="0" w:color="auto"/>
            </w:tcBorders>
            <w:noWrap/>
            <w:vAlign w:val="bottom"/>
            <w:hideMark/>
          </w:tcPr>
          <w:p w14:paraId="153D9E5F"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1 954,99 €</w:t>
            </w:r>
          </w:p>
        </w:tc>
        <w:tc>
          <w:tcPr>
            <w:tcW w:w="1760" w:type="dxa"/>
            <w:tcBorders>
              <w:top w:val="nil"/>
              <w:left w:val="nil"/>
              <w:bottom w:val="single" w:sz="4" w:space="0" w:color="auto"/>
              <w:right w:val="single" w:sz="4" w:space="0" w:color="auto"/>
            </w:tcBorders>
            <w:noWrap/>
            <w:vAlign w:val="bottom"/>
            <w:hideMark/>
          </w:tcPr>
          <w:p w14:paraId="77F1584F"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1 238,41 €</w:t>
            </w:r>
          </w:p>
        </w:tc>
        <w:tc>
          <w:tcPr>
            <w:tcW w:w="1760" w:type="dxa"/>
            <w:tcBorders>
              <w:top w:val="nil"/>
              <w:left w:val="nil"/>
              <w:bottom w:val="single" w:sz="4" w:space="0" w:color="auto"/>
              <w:right w:val="single" w:sz="4" w:space="0" w:color="auto"/>
            </w:tcBorders>
            <w:noWrap/>
            <w:vAlign w:val="bottom"/>
            <w:hideMark/>
          </w:tcPr>
          <w:p w14:paraId="00D5B894"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1 954,99 €</w:t>
            </w:r>
          </w:p>
        </w:tc>
        <w:tc>
          <w:tcPr>
            <w:tcW w:w="1760" w:type="dxa"/>
            <w:tcBorders>
              <w:top w:val="nil"/>
              <w:left w:val="nil"/>
              <w:bottom w:val="single" w:sz="4" w:space="0" w:color="auto"/>
              <w:right w:val="single" w:sz="4" w:space="0" w:color="auto"/>
            </w:tcBorders>
            <w:noWrap/>
            <w:vAlign w:val="bottom"/>
            <w:hideMark/>
          </w:tcPr>
          <w:p w14:paraId="2216AC35"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1 673,65 €</w:t>
            </w:r>
          </w:p>
        </w:tc>
      </w:tr>
      <w:tr w:rsidR="00190436" w:rsidRPr="00722B4D" w14:paraId="1DF182C6" w14:textId="77777777" w:rsidTr="00832CF5">
        <w:trPr>
          <w:trHeight w:val="290"/>
          <w:jc w:val="center"/>
        </w:trPr>
        <w:tc>
          <w:tcPr>
            <w:tcW w:w="2920" w:type="dxa"/>
            <w:tcBorders>
              <w:top w:val="nil"/>
              <w:left w:val="single" w:sz="4" w:space="0" w:color="auto"/>
              <w:bottom w:val="single" w:sz="4" w:space="0" w:color="auto"/>
              <w:right w:val="single" w:sz="4" w:space="0" w:color="auto"/>
            </w:tcBorders>
            <w:noWrap/>
            <w:vAlign w:val="bottom"/>
            <w:hideMark/>
          </w:tcPr>
          <w:p w14:paraId="57D4D714"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Revenu net</w:t>
            </w:r>
          </w:p>
        </w:tc>
        <w:tc>
          <w:tcPr>
            <w:tcW w:w="1760" w:type="dxa"/>
            <w:tcBorders>
              <w:top w:val="nil"/>
              <w:left w:val="nil"/>
              <w:bottom w:val="single" w:sz="4" w:space="0" w:color="auto"/>
              <w:right w:val="single" w:sz="4" w:space="0" w:color="auto"/>
            </w:tcBorders>
            <w:noWrap/>
            <w:vAlign w:val="bottom"/>
            <w:hideMark/>
          </w:tcPr>
          <w:p w14:paraId="1B4C02B8"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1 820,55 €</w:t>
            </w:r>
          </w:p>
        </w:tc>
        <w:tc>
          <w:tcPr>
            <w:tcW w:w="1760" w:type="dxa"/>
            <w:tcBorders>
              <w:top w:val="nil"/>
              <w:left w:val="nil"/>
              <w:bottom w:val="single" w:sz="4" w:space="0" w:color="auto"/>
              <w:right w:val="single" w:sz="4" w:space="0" w:color="auto"/>
            </w:tcBorders>
            <w:noWrap/>
            <w:vAlign w:val="bottom"/>
            <w:hideMark/>
          </w:tcPr>
          <w:p w14:paraId="4E110843"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1 238,41 €</w:t>
            </w:r>
          </w:p>
        </w:tc>
        <w:tc>
          <w:tcPr>
            <w:tcW w:w="1760" w:type="dxa"/>
            <w:tcBorders>
              <w:top w:val="nil"/>
              <w:left w:val="nil"/>
              <w:bottom w:val="single" w:sz="4" w:space="0" w:color="auto"/>
              <w:right w:val="single" w:sz="4" w:space="0" w:color="auto"/>
            </w:tcBorders>
            <w:noWrap/>
            <w:vAlign w:val="bottom"/>
            <w:hideMark/>
          </w:tcPr>
          <w:p w14:paraId="7E76CDC0"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1 918,57 €</w:t>
            </w:r>
          </w:p>
        </w:tc>
        <w:tc>
          <w:tcPr>
            <w:tcW w:w="1760" w:type="dxa"/>
            <w:tcBorders>
              <w:top w:val="nil"/>
              <w:left w:val="nil"/>
              <w:bottom w:val="single" w:sz="4" w:space="0" w:color="auto"/>
              <w:right w:val="single" w:sz="4" w:space="0" w:color="auto"/>
            </w:tcBorders>
            <w:noWrap/>
            <w:vAlign w:val="bottom"/>
            <w:hideMark/>
          </w:tcPr>
          <w:p w14:paraId="2EC02FAB"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1 673,65 €</w:t>
            </w:r>
          </w:p>
        </w:tc>
      </w:tr>
      <w:tr w:rsidR="00190436" w:rsidRPr="00722B4D" w14:paraId="3BB99743" w14:textId="77777777" w:rsidTr="00832CF5">
        <w:trPr>
          <w:trHeight w:val="290"/>
          <w:jc w:val="center"/>
        </w:trPr>
        <w:tc>
          <w:tcPr>
            <w:tcW w:w="2920" w:type="dxa"/>
            <w:tcBorders>
              <w:top w:val="nil"/>
              <w:left w:val="single" w:sz="4" w:space="0" w:color="auto"/>
              <w:bottom w:val="single" w:sz="4" w:space="0" w:color="auto"/>
              <w:right w:val="single" w:sz="4" w:space="0" w:color="auto"/>
            </w:tcBorders>
            <w:noWrap/>
            <w:vAlign w:val="bottom"/>
            <w:hideMark/>
          </w:tcPr>
          <w:p w14:paraId="55329CA0"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Frais de crèche</w:t>
            </w:r>
          </w:p>
        </w:tc>
        <w:tc>
          <w:tcPr>
            <w:tcW w:w="1760" w:type="dxa"/>
            <w:tcBorders>
              <w:top w:val="nil"/>
              <w:left w:val="nil"/>
              <w:bottom w:val="single" w:sz="4" w:space="0" w:color="auto"/>
              <w:right w:val="single" w:sz="4" w:space="0" w:color="auto"/>
            </w:tcBorders>
            <w:noWrap/>
            <w:vAlign w:val="bottom"/>
            <w:hideMark/>
          </w:tcPr>
          <w:p w14:paraId="11AF96E5"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w:t>
            </w:r>
          </w:p>
        </w:tc>
        <w:tc>
          <w:tcPr>
            <w:tcW w:w="1760" w:type="dxa"/>
            <w:tcBorders>
              <w:top w:val="nil"/>
              <w:left w:val="nil"/>
              <w:bottom w:val="single" w:sz="4" w:space="0" w:color="auto"/>
              <w:right w:val="single" w:sz="4" w:space="0" w:color="auto"/>
            </w:tcBorders>
            <w:noWrap/>
            <w:vAlign w:val="bottom"/>
            <w:hideMark/>
          </w:tcPr>
          <w:p w14:paraId="183C90D5"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w:t>
            </w:r>
          </w:p>
        </w:tc>
        <w:tc>
          <w:tcPr>
            <w:tcW w:w="1760" w:type="dxa"/>
            <w:tcBorders>
              <w:top w:val="nil"/>
              <w:left w:val="nil"/>
              <w:bottom w:val="single" w:sz="4" w:space="0" w:color="auto"/>
              <w:right w:val="single" w:sz="4" w:space="0" w:color="auto"/>
            </w:tcBorders>
            <w:noWrap/>
            <w:vAlign w:val="bottom"/>
            <w:hideMark/>
          </w:tcPr>
          <w:p w14:paraId="668CF359" w14:textId="77777777" w:rsidR="00190436" w:rsidRPr="00722B4D" w:rsidRDefault="00190436" w:rsidP="00832CF5">
            <w:pPr>
              <w:numPr>
                <w:ilvl w:val="0"/>
                <w:numId w:val="1"/>
              </w:num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220,00 €</w:t>
            </w:r>
          </w:p>
        </w:tc>
        <w:tc>
          <w:tcPr>
            <w:tcW w:w="1760" w:type="dxa"/>
            <w:tcBorders>
              <w:top w:val="nil"/>
              <w:left w:val="nil"/>
              <w:bottom w:val="single" w:sz="4" w:space="0" w:color="auto"/>
              <w:right w:val="single" w:sz="4" w:space="0" w:color="auto"/>
            </w:tcBorders>
            <w:noWrap/>
            <w:vAlign w:val="bottom"/>
            <w:hideMark/>
          </w:tcPr>
          <w:p w14:paraId="48609178"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w:t>
            </w:r>
          </w:p>
        </w:tc>
      </w:tr>
      <w:tr w:rsidR="00190436" w:rsidRPr="00722B4D" w14:paraId="77AB73CD" w14:textId="77777777" w:rsidTr="00832CF5">
        <w:trPr>
          <w:trHeight w:val="290"/>
          <w:jc w:val="center"/>
        </w:trPr>
        <w:tc>
          <w:tcPr>
            <w:tcW w:w="2920" w:type="dxa"/>
            <w:tcBorders>
              <w:top w:val="nil"/>
              <w:left w:val="single" w:sz="4" w:space="0" w:color="auto"/>
              <w:bottom w:val="single" w:sz="4" w:space="0" w:color="auto"/>
              <w:right w:val="single" w:sz="4" w:space="0" w:color="auto"/>
            </w:tcBorders>
            <w:noWrap/>
            <w:vAlign w:val="bottom"/>
            <w:hideMark/>
          </w:tcPr>
          <w:p w14:paraId="59ECCA0B"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Frais de transport liés à l'emploi</w:t>
            </w:r>
          </w:p>
        </w:tc>
        <w:tc>
          <w:tcPr>
            <w:tcW w:w="1760" w:type="dxa"/>
            <w:tcBorders>
              <w:top w:val="nil"/>
              <w:left w:val="nil"/>
              <w:bottom w:val="single" w:sz="4" w:space="0" w:color="auto"/>
              <w:right w:val="single" w:sz="4" w:space="0" w:color="auto"/>
            </w:tcBorders>
            <w:noWrap/>
            <w:vAlign w:val="bottom"/>
            <w:hideMark/>
          </w:tcPr>
          <w:p w14:paraId="6C0FE6A1" w14:textId="77777777" w:rsidR="00190436" w:rsidRPr="00722B4D" w:rsidRDefault="00190436" w:rsidP="00832CF5">
            <w:pPr>
              <w:numPr>
                <w:ilvl w:val="0"/>
                <w:numId w:val="2"/>
              </w:num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270,00 €</w:t>
            </w:r>
          </w:p>
        </w:tc>
        <w:tc>
          <w:tcPr>
            <w:tcW w:w="1760" w:type="dxa"/>
            <w:tcBorders>
              <w:top w:val="nil"/>
              <w:left w:val="nil"/>
              <w:bottom w:val="single" w:sz="4" w:space="0" w:color="auto"/>
              <w:right w:val="single" w:sz="4" w:space="0" w:color="auto"/>
            </w:tcBorders>
            <w:noWrap/>
            <w:vAlign w:val="bottom"/>
            <w:hideMark/>
          </w:tcPr>
          <w:p w14:paraId="390F9823"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w:t>
            </w:r>
          </w:p>
        </w:tc>
        <w:tc>
          <w:tcPr>
            <w:tcW w:w="1760" w:type="dxa"/>
            <w:tcBorders>
              <w:top w:val="nil"/>
              <w:left w:val="nil"/>
              <w:bottom w:val="single" w:sz="4" w:space="0" w:color="auto"/>
              <w:right w:val="single" w:sz="4" w:space="0" w:color="auto"/>
            </w:tcBorders>
            <w:noWrap/>
            <w:vAlign w:val="bottom"/>
            <w:hideMark/>
          </w:tcPr>
          <w:p w14:paraId="264C550D" w14:textId="77777777" w:rsidR="00190436" w:rsidRPr="00722B4D" w:rsidRDefault="00190436" w:rsidP="00832CF5">
            <w:pPr>
              <w:numPr>
                <w:ilvl w:val="0"/>
                <w:numId w:val="2"/>
              </w:num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270,00 €</w:t>
            </w:r>
          </w:p>
        </w:tc>
        <w:tc>
          <w:tcPr>
            <w:tcW w:w="1760" w:type="dxa"/>
            <w:tcBorders>
              <w:top w:val="nil"/>
              <w:left w:val="nil"/>
              <w:bottom w:val="single" w:sz="4" w:space="0" w:color="auto"/>
              <w:right w:val="single" w:sz="4" w:space="0" w:color="auto"/>
            </w:tcBorders>
            <w:noWrap/>
            <w:vAlign w:val="bottom"/>
            <w:hideMark/>
          </w:tcPr>
          <w:p w14:paraId="5967A17F"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w:t>
            </w:r>
          </w:p>
        </w:tc>
      </w:tr>
      <w:tr w:rsidR="00190436" w:rsidRPr="00722B4D" w14:paraId="51251999" w14:textId="77777777" w:rsidTr="00832CF5">
        <w:trPr>
          <w:trHeight w:val="290"/>
          <w:jc w:val="center"/>
        </w:trPr>
        <w:tc>
          <w:tcPr>
            <w:tcW w:w="2920"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07868A8B" w14:textId="77777777" w:rsidR="00190436" w:rsidRPr="00722B4D" w:rsidRDefault="00190436" w:rsidP="00832CF5">
            <w:p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Total mensuel disponible</w:t>
            </w:r>
          </w:p>
        </w:tc>
        <w:tc>
          <w:tcPr>
            <w:tcW w:w="1760" w:type="dxa"/>
            <w:tcBorders>
              <w:top w:val="nil"/>
              <w:left w:val="nil"/>
              <w:bottom w:val="single" w:sz="4" w:space="0" w:color="auto"/>
              <w:right w:val="single" w:sz="4" w:space="0" w:color="auto"/>
            </w:tcBorders>
            <w:shd w:val="clear" w:color="auto" w:fill="F7CAAC" w:themeFill="accent2" w:themeFillTint="66"/>
            <w:noWrap/>
            <w:vAlign w:val="bottom"/>
            <w:hideMark/>
          </w:tcPr>
          <w:p w14:paraId="4F7DAEC4"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1 550,55 €</w:t>
            </w:r>
          </w:p>
        </w:tc>
        <w:tc>
          <w:tcPr>
            <w:tcW w:w="1760" w:type="dxa"/>
            <w:tcBorders>
              <w:top w:val="nil"/>
              <w:left w:val="nil"/>
              <w:bottom w:val="single" w:sz="4" w:space="0" w:color="auto"/>
              <w:right w:val="single" w:sz="4" w:space="0" w:color="auto"/>
            </w:tcBorders>
            <w:shd w:val="clear" w:color="auto" w:fill="F7CAAC" w:themeFill="accent2" w:themeFillTint="66"/>
            <w:noWrap/>
            <w:vAlign w:val="bottom"/>
            <w:hideMark/>
          </w:tcPr>
          <w:p w14:paraId="23A67EDB"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1 238,41 €</w:t>
            </w:r>
          </w:p>
        </w:tc>
        <w:tc>
          <w:tcPr>
            <w:tcW w:w="1760" w:type="dxa"/>
            <w:tcBorders>
              <w:top w:val="nil"/>
              <w:left w:val="nil"/>
              <w:bottom w:val="single" w:sz="4" w:space="0" w:color="auto"/>
              <w:right w:val="single" w:sz="4" w:space="0" w:color="auto"/>
            </w:tcBorders>
            <w:shd w:val="clear" w:color="auto" w:fill="C45911" w:themeFill="accent2" w:themeFillShade="BF"/>
            <w:noWrap/>
            <w:vAlign w:val="bottom"/>
            <w:hideMark/>
          </w:tcPr>
          <w:p w14:paraId="455D4F61"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1 428,57 €</w:t>
            </w:r>
          </w:p>
        </w:tc>
        <w:tc>
          <w:tcPr>
            <w:tcW w:w="1760" w:type="dxa"/>
            <w:tcBorders>
              <w:top w:val="nil"/>
              <w:left w:val="nil"/>
              <w:bottom w:val="single" w:sz="4" w:space="0" w:color="auto"/>
              <w:right w:val="single" w:sz="4" w:space="0" w:color="auto"/>
            </w:tcBorders>
            <w:shd w:val="clear" w:color="auto" w:fill="F7CAAC" w:themeFill="accent2" w:themeFillTint="66"/>
            <w:noWrap/>
            <w:vAlign w:val="bottom"/>
            <w:hideMark/>
          </w:tcPr>
          <w:p w14:paraId="27BB2271" w14:textId="77777777" w:rsidR="00190436" w:rsidRPr="00722B4D" w:rsidRDefault="00190436" w:rsidP="00832CF5">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1 673,65 €</w:t>
            </w:r>
          </w:p>
        </w:tc>
      </w:tr>
    </w:tbl>
    <w:p w14:paraId="1753E68A"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p>
    <w:p w14:paraId="08BFFB73"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xml:space="preserve">Si pour un travailleur isolé, le travail avec un salaire minimal, même en tenant compte de frais de déplacements, procure un avantage financier par rapport à l’allocation, la chose est bien moins évidente pour le travailleur qui a un enfant en bas âge à charge et qui, en fonction de ses frais, aura des fins de mois plus que compliquées malgré un emploi à temps plein. </w:t>
      </w:r>
    </w:p>
    <w:p w14:paraId="481E30E9"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p>
    <w:p w14:paraId="49473515"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Ce travailleur ne pourra cependant pas prétendre à un complément via le RI</w:t>
      </w:r>
      <w:r>
        <w:rPr>
          <w:rFonts w:asciiTheme="minorHAnsi" w:hAnsiTheme="minorHAnsi" w:cstheme="minorHAnsi"/>
          <w:sz w:val="22"/>
          <w:szCs w:val="22"/>
        </w:rPr>
        <w:t>,</w:t>
      </w:r>
      <w:r w:rsidRPr="00722B4D">
        <w:rPr>
          <w:rFonts w:asciiTheme="minorHAnsi" w:hAnsiTheme="minorHAnsi" w:cstheme="minorHAnsi"/>
          <w:sz w:val="22"/>
          <w:szCs w:val="22"/>
        </w:rPr>
        <w:t xml:space="preserve"> car ses revenus nets (sans compter les frais) dépassent le montant du RI de sa catégorie. Cela ne veut pas dire qu’il ne peut pas demander des aides complémentaires au CPAS mais il s’agira, dans ce cas, d’aides sociales octroyées sur fonds propres par le CPAS, si l’état de besoin est avéré. </w:t>
      </w:r>
    </w:p>
    <w:p w14:paraId="4BCC49AF" w14:textId="77777777" w:rsidR="00190436" w:rsidRPr="00722B4D" w:rsidRDefault="00190436" w:rsidP="00190436">
      <w:pPr>
        <w:autoSpaceDE w:val="0"/>
        <w:autoSpaceDN w:val="0"/>
        <w:adjustRightInd w:val="0"/>
        <w:spacing w:line="240" w:lineRule="exact"/>
        <w:jc w:val="both"/>
        <w:rPr>
          <w:rFonts w:asciiTheme="minorHAnsi" w:hAnsiTheme="minorHAnsi" w:cstheme="minorHAnsi"/>
          <w:sz w:val="22"/>
          <w:szCs w:val="22"/>
        </w:rPr>
      </w:pPr>
    </w:p>
    <w:p w14:paraId="3E51FBE8" w14:textId="77777777" w:rsidR="00190436" w:rsidRDefault="00190436" w:rsidP="00190436">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L’emploi ne protège donc plus toujours de la pauvreté et ne permet plus forcément aux personnes de s’émanciper du CPAS.</w:t>
      </w:r>
    </w:p>
    <w:p w14:paraId="485EFA56" w14:textId="77777777" w:rsidR="00190436" w:rsidRDefault="00190436" w:rsidP="00190436">
      <w:pPr>
        <w:autoSpaceDE w:val="0"/>
        <w:autoSpaceDN w:val="0"/>
        <w:adjustRightInd w:val="0"/>
        <w:spacing w:line="240" w:lineRule="exact"/>
        <w:jc w:val="both"/>
        <w:rPr>
          <w:rFonts w:asciiTheme="minorHAnsi" w:hAnsiTheme="minorHAnsi" w:cstheme="minorHAnsi"/>
          <w:sz w:val="22"/>
          <w:szCs w:val="22"/>
        </w:rPr>
      </w:pPr>
    </w:p>
    <w:p w14:paraId="3C1AC6E2" w14:textId="6A39D9A2" w:rsidR="00190436" w:rsidRPr="00190436" w:rsidRDefault="00190436" w:rsidP="00190436">
      <w:pPr>
        <w:autoSpaceDE w:val="0"/>
        <w:autoSpaceDN w:val="0"/>
        <w:adjustRightInd w:val="0"/>
        <w:spacing w:line="240" w:lineRule="exact"/>
        <w:jc w:val="both"/>
        <w:rPr>
          <w:rFonts w:asciiTheme="minorHAnsi" w:hAnsiTheme="minorHAnsi" w:cstheme="minorHAnsi"/>
          <w:sz w:val="22"/>
          <w:szCs w:val="22"/>
        </w:rPr>
      </w:pPr>
      <w:r w:rsidRPr="005C083E">
        <w:rPr>
          <w:rFonts w:asciiTheme="minorHAnsi" w:hAnsiTheme="minorHAnsi" w:cstheme="minorHAnsi"/>
          <w:b/>
          <w:bCs/>
          <w:sz w:val="22"/>
          <w:szCs w:val="22"/>
        </w:rPr>
        <w:t>ANNEXE 3 : LES PLUS ELOIGNES DE L’EMPLOI</w:t>
      </w:r>
    </w:p>
    <w:p w14:paraId="6A4CB30D" w14:textId="77777777" w:rsidR="00190436" w:rsidRDefault="00190436" w:rsidP="00190436">
      <w:pPr>
        <w:autoSpaceDE w:val="0"/>
        <w:autoSpaceDN w:val="0"/>
        <w:adjustRightInd w:val="0"/>
        <w:spacing w:line="240" w:lineRule="exact"/>
        <w:jc w:val="both"/>
        <w:rPr>
          <w:rFonts w:asciiTheme="minorHAnsi" w:hAnsiTheme="minorHAnsi" w:cstheme="minorHAnsi"/>
          <w:sz w:val="22"/>
          <w:szCs w:val="22"/>
        </w:rPr>
      </w:pPr>
    </w:p>
    <w:p w14:paraId="1B7DE998" w14:textId="77777777" w:rsidR="00190436" w:rsidRDefault="00190436" w:rsidP="00190436">
      <w:pPr>
        <w:spacing w:line="216" w:lineRule="auto"/>
        <w:jc w:val="both"/>
        <w:rPr>
          <w:rFonts w:asciiTheme="minorHAnsi" w:eastAsia="Times New Roman" w:hAnsiTheme="minorHAnsi" w:cstheme="minorHAnsi"/>
          <w:sz w:val="22"/>
          <w:szCs w:val="22"/>
          <w:lang w:eastAsia="en-US"/>
          <w14:ligatures w14:val="standardContextual"/>
        </w:rPr>
      </w:pPr>
      <w:r>
        <w:rPr>
          <w:rFonts w:asciiTheme="minorHAnsi" w:eastAsia="Times New Roman" w:hAnsiTheme="minorHAnsi" w:cstheme="minorHAnsi"/>
          <w:sz w:val="22"/>
          <w:szCs w:val="22"/>
          <w:lang w:eastAsia="en-US"/>
          <w14:ligatures w14:val="standardContextual"/>
        </w:rPr>
        <w:t>Il</w:t>
      </w:r>
      <w:r w:rsidRPr="00D113C8">
        <w:rPr>
          <w:rFonts w:asciiTheme="minorHAnsi" w:eastAsia="Times New Roman" w:hAnsiTheme="minorHAnsi" w:cstheme="minorHAnsi"/>
          <w:sz w:val="22"/>
          <w:szCs w:val="22"/>
          <w:lang w:eastAsia="en-US"/>
          <w14:ligatures w14:val="standardContextual"/>
        </w:rPr>
        <w:t xml:space="preserve"> y a aussi la question des personnes très éloignés de l’emploi</w:t>
      </w:r>
      <w:r>
        <w:rPr>
          <w:rFonts w:asciiTheme="minorHAnsi" w:eastAsia="Times New Roman" w:hAnsiTheme="minorHAnsi" w:cstheme="minorHAnsi"/>
          <w:sz w:val="22"/>
          <w:szCs w:val="22"/>
          <w:lang w:eastAsia="en-US"/>
          <w14:ligatures w14:val="standardContextual"/>
        </w:rPr>
        <w:t xml:space="preserve">. </w:t>
      </w:r>
    </w:p>
    <w:p w14:paraId="487726F6" w14:textId="77777777" w:rsidR="00190436" w:rsidRDefault="00190436" w:rsidP="00190436">
      <w:pPr>
        <w:spacing w:line="216" w:lineRule="auto"/>
        <w:jc w:val="both"/>
        <w:rPr>
          <w:rFonts w:asciiTheme="minorHAnsi" w:eastAsia="Times New Roman" w:hAnsiTheme="minorHAnsi" w:cstheme="minorHAnsi"/>
          <w:color w:val="000000"/>
          <w:sz w:val="22"/>
          <w:szCs w:val="22"/>
        </w:rPr>
      </w:pPr>
    </w:p>
    <w:p w14:paraId="163EF907" w14:textId="083C3D63" w:rsidR="00190436" w:rsidRPr="00190436" w:rsidRDefault="00190436" w:rsidP="00190436">
      <w:pPr>
        <w:spacing w:line="216" w:lineRule="auto"/>
        <w:rPr>
          <w:rFonts w:asciiTheme="minorHAnsi" w:eastAsia="Times New Roman" w:hAnsiTheme="minorHAnsi" w:cstheme="minorHAnsi"/>
          <w:color w:val="000000"/>
          <w:sz w:val="22"/>
          <w:szCs w:val="22"/>
        </w:rPr>
      </w:pPr>
      <w:r w:rsidRPr="00D113C8">
        <w:rPr>
          <w:rFonts w:asciiTheme="minorHAnsi" w:eastAsia="Times New Roman" w:hAnsiTheme="minorHAnsi" w:cstheme="minorHAnsi"/>
          <w:color w:val="000000"/>
          <w:sz w:val="22"/>
          <w:szCs w:val="22"/>
        </w:rPr>
        <w:t>« Il existe depuis 2015 un noyau dur de personnes confrontées à une multitude de problèmes entravant leur intégration par l’emploi ». Il m’est difficile de ne pas dire que l’insertion vers l’emploi passe par une stabilisation des conditions de vie et par une stabilisation psychosociale de ces personnes, en particulier les jeunes, de plus en plus nombreux en CPAS et de moins en moins nombreux au chômage.</w:t>
      </w:r>
      <w:r>
        <w:rPr>
          <w:rFonts w:asciiTheme="minorHAnsi" w:eastAsia="Times New Roman" w:hAnsiTheme="minorHAnsi" w:cstheme="minorHAnsi"/>
          <w:color w:val="000000"/>
          <w:sz w:val="22"/>
          <w:szCs w:val="22"/>
        </w:rPr>
        <w:br/>
      </w:r>
    </w:p>
    <w:p w14:paraId="08E44DC0" w14:textId="77777777" w:rsidR="00190436" w:rsidRDefault="00190436" w:rsidP="00190436">
      <w:pPr>
        <w:spacing w:line="216" w:lineRule="auto"/>
        <w:jc w:val="both"/>
        <w:rPr>
          <w:rFonts w:asciiTheme="minorHAnsi" w:hAnsiTheme="minorHAnsi" w:cstheme="minorHAnsi"/>
          <w:b/>
          <w:bCs/>
          <w:color w:val="000000"/>
          <w:sz w:val="22"/>
          <w:szCs w:val="22"/>
        </w:rPr>
      </w:pPr>
      <w:r w:rsidRPr="005C083E">
        <w:rPr>
          <w:rFonts w:asciiTheme="minorHAnsi" w:hAnsiTheme="minorHAnsi" w:cstheme="minorHAnsi"/>
          <w:b/>
          <w:bCs/>
          <w:color w:val="000000"/>
          <w:sz w:val="22"/>
          <w:szCs w:val="22"/>
        </w:rPr>
        <w:t xml:space="preserve">Tableau chômage des jeunes </w:t>
      </w:r>
    </w:p>
    <w:p w14:paraId="120E27E1" w14:textId="77777777" w:rsidR="00190436" w:rsidRPr="005C083E" w:rsidRDefault="00190436" w:rsidP="00190436">
      <w:pPr>
        <w:spacing w:line="216" w:lineRule="auto"/>
        <w:jc w:val="both"/>
        <w:rPr>
          <w:rFonts w:asciiTheme="minorHAnsi" w:eastAsiaTheme="minorHAnsi" w:hAnsiTheme="minorHAnsi" w:cstheme="minorHAnsi"/>
          <w:b/>
          <w:bCs/>
          <w:color w:val="000000"/>
          <w:sz w:val="22"/>
          <w:szCs w:val="22"/>
        </w:rPr>
      </w:pPr>
    </w:p>
    <w:p w14:paraId="67DE38D3" w14:textId="441C982A" w:rsidR="001D58FA" w:rsidRPr="00190436" w:rsidRDefault="00190436" w:rsidP="00190436">
      <w:pPr>
        <w:pStyle w:val="Paragraphedeliste"/>
        <w:spacing w:line="216" w:lineRule="auto"/>
        <w:rPr>
          <w:rFonts w:asciiTheme="minorHAnsi" w:hAnsiTheme="minorHAnsi" w:cstheme="minorHAnsi"/>
          <w:sz w:val="56"/>
          <w:szCs w:val="56"/>
        </w:rPr>
      </w:pPr>
      <w:r w:rsidRPr="00D113C8">
        <w:rPr>
          <w:rFonts w:asciiTheme="minorHAnsi" w:hAnsiTheme="minorHAnsi" w:cstheme="minorHAnsi"/>
          <w:noProof/>
          <w:sz w:val="22"/>
          <w:szCs w:val="22"/>
          <w:lang w:eastAsia="en-US"/>
        </w:rPr>
        <w:drawing>
          <wp:inline distT="0" distB="0" distL="0" distR="0" wp14:anchorId="51C8F5D5" wp14:editId="7EB690F3">
            <wp:extent cx="4649470" cy="1353161"/>
            <wp:effectExtent l="0" t="0" r="0" b="0"/>
            <wp:docPr id="1991520822"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20822" name="Image 1" descr="Une image contenant texte, capture d’écran, Police, nombre&#10;&#10;Description générée automatiqueme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81728" cy="1362549"/>
                    </a:xfrm>
                    <a:prstGeom prst="rect">
                      <a:avLst/>
                    </a:prstGeom>
                    <a:noFill/>
                    <a:ln>
                      <a:noFill/>
                    </a:ln>
                  </pic:spPr>
                </pic:pic>
              </a:graphicData>
            </a:graphic>
          </wp:inline>
        </w:drawing>
      </w:r>
    </w:p>
    <w:sectPr w:rsidR="001D58FA" w:rsidRPr="00190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553"/>
    <w:multiLevelType w:val="hybridMultilevel"/>
    <w:tmpl w:val="CC7E9B52"/>
    <w:lvl w:ilvl="0" w:tplc="79E26E5A">
      <w:start w:val="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71B73B1D"/>
    <w:multiLevelType w:val="hybridMultilevel"/>
    <w:tmpl w:val="83609236"/>
    <w:lvl w:ilvl="0" w:tplc="07EC380C">
      <w:start w:val="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6779029">
    <w:abstractNumId w:val="0"/>
  </w:num>
  <w:num w:numId="2" w16cid:durableId="182789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36"/>
    <w:rsid w:val="00190436"/>
    <w:rsid w:val="001D58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B8A3"/>
  <w15:chartTrackingRefBased/>
  <w15:docId w15:val="{3A5FE57E-955B-48F6-9D36-ECB9DDFE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36"/>
    <w:pPr>
      <w:spacing w:after="0" w:line="240" w:lineRule="auto"/>
    </w:pPr>
    <w:rPr>
      <w:rFonts w:ascii="Times" w:eastAsia="Times" w:hAnsi="Times" w:cs="Times New Roman"/>
      <w:kern w:val="0"/>
      <w:sz w:val="24"/>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8.jpg@01D9E653.F21CFB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L'Hoost</dc:creator>
  <cp:keywords/>
  <dc:description/>
  <cp:lastModifiedBy>Michel L'Hoost</cp:lastModifiedBy>
  <cp:revision>1</cp:revision>
  <dcterms:created xsi:type="dcterms:W3CDTF">2023-09-14T12:03:00Z</dcterms:created>
  <dcterms:modified xsi:type="dcterms:W3CDTF">2023-09-14T12:05:00Z</dcterms:modified>
</cp:coreProperties>
</file>